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B0B5C" w14:textId="7A911E7D" w:rsidR="008539E0" w:rsidRPr="00D041DA" w:rsidRDefault="008539E0" w:rsidP="00D041DA">
      <w:pPr>
        <w:ind w:right="-858"/>
        <w:jc w:val="right"/>
        <w:rPr>
          <w:rFonts w:ascii="Calibri" w:hAnsi="Calibri" w:cs="Calibri"/>
          <w:lang w:val="en-US"/>
        </w:rPr>
      </w:pPr>
    </w:p>
    <w:p w14:paraId="152A4617" w14:textId="77777777" w:rsidR="00D041DA" w:rsidRPr="00D041DA" w:rsidRDefault="00D041DA" w:rsidP="00D041DA">
      <w:pPr>
        <w:rPr>
          <w:rFonts w:ascii="Calibri" w:hAnsi="Calibri" w:cs="Calibri"/>
          <w:lang w:val="en-US"/>
        </w:rPr>
      </w:pPr>
    </w:p>
    <w:p w14:paraId="677D272F" w14:textId="77777777" w:rsidR="00A85C01" w:rsidRDefault="00A85C01" w:rsidP="00A85C01">
      <w:pPr>
        <w:pStyle w:val="Ttulo1"/>
        <w:rPr>
          <w:rFonts w:eastAsia="Times New Roman"/>
        </w:rPr>
      </w:pPr>
      <w:r>
        <w:t xml:space="preserve">Conselhos sob pressão: capital caro, IA estratégica e o teste de maturidade da governança em 2026 </w:t>
      </w:r>
    </w:p>
    <w:p w14:paraId="35542816" w14:textId="1F04A5C5" w:rsidR="00A85C01" w:rsidRDefault="00A85C01" w:rsidP="00A85C01"/>
    <w:p w14:paraId="5228D269" w14:textId="77777777" w:rsidR="00A85C01" w:rsidRDefault="00A85C01" w:rsidP="00A85C01">
      <w:pPr>
        <w:pStyle w:val="ember-view"/>
      </w:pPr>
      <w:r>
        <w:t>O relatório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“Prioridades dos Conselhos de Administração para 2026 no Brasil”</w:t>
      </w:r>
      <w:r>
        <w:t>, elaborado pelo</w:t>
      </w:r>
      <w:r>
        <w:rPr>
          <w:rStyle w:val="white-space-pre"/>
          <w:rFonts w:eastAsiaTheme="majorEastAsia"/>
        </w:rPr>
        <w:t xml:space="preserve"> </w:t>
      </w:r>
      <w:hyperlink r:id="rId7" w:history="1">
        <w:r>
          <w:rPr>
            <w:rStyle w:val="Hyperlink"/>
          </w:rPr>
          <w:t>EY</w:t>
        </w:r>
      </w:hyperlink>
      <w:r>
        <w:rPr>
          <w:rStyle w:val="white-space-pre"/>
          <w:rFonts w:eastAsiaTheme="majorEastAsia"/>
        </w:rPr>
        <w:t xml:space="preserve"> </w:t>
      </w:r>
      <w:r>
        <w:t xml:space="preserve">Center for Board </w:t>
      </w:r>
      <w:proofErr w:type="spellStart"/>
      <w:r>
        <w:t>Matters</w:t>
      </w:r>
      <w:proofErr w:type="spellEnd"/>
      <w:r>
        <w:t>, revela um movimento claro: depois de uma expectativa de que 2025 marcaria uma virada definitiva para inovação e tecnologia, os conselheiros brasileiros recolocaram as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condições econômicas e os riscos políticos</w:t>
      </w:r>
      <w:r>
        <w:rPr>
          <w:rStyle w:val="white-space-pre"/>
          <w:rFonts w:eastAsiaTheme="majorEastAsia"/>
        </w:rPr>
        <w:t xml:space="preserve"> </w:t>
      </w:r>
      <w:r>
        <w:t xml:space="preserve">no centro da agenda. </w:t>
      </w:r>
    </w:p>
    <w:p w14:paraId="031CD92B" w14:textId="77777777" w:rsidR="00A85C01" w:rsidRDefault="00A85C01" w:rsidP="00A85C01">
      <w:pPr>
        <w:pStyle w:val="ember-view"/>
      </w:pPr>
      <w:r>
        <w:t xml:space="preserve">A leitura do estudo mostra que não se trata de retrocesso estratégico — mas de realismo. Em um ambiente de custo de capital elevado, volatilidade geopolítica e incerteza regulatória, o conselho volta a exercer seu papel mais clássico: o de guardião da sustentabilidade financeira e da resiliência empresarial. </w:t>
      </w:r>
    </w:p>
    <w:p w14:paraId="04C403FE" w14:textId="77777777" w:rsidR="00A85C01" w:rsidRDefault="00A85C01" w:rsidP="00A85C01">
      <w:pPr>
        <w:pStyle w:val="Ttulo3"/>
      </w:pPr>
      <w:r>
        <w:t xml:space="preserve">1. Capital caro exige disciplina — e coragem </w:t>
      </w:r>
    </w:p>
    <w:p w14:paraId="6ED9D1AF" w14:textId="77777777" w:rsidR="00A85C01" w:rsidRDefault="00A85C01" w:rsidP="00A85C01">
      <w:pPr>
        <w:pStyle w:val="ember-view"/>
      </w:pPr>
      <w:r>
        <w:t>O relatório indica que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condições econômicas e alocação de capital</w:t>
      </w:r>
      <w:r>
        <w:rPr>
          <w:rStyle w:val="white-space-pre"/>
          <w:rFonts w:eastAsiaTheme="majorEastAsia"/>
        </w:rPr>
        <w:t xml:space="preserve"> </w:t>
      </w:r>
      <w:r>
        <w:t xml:space="preserve">lideram as prioridades para 2026. Entre as maiores preocupações econômicas destacam-se: </w:t>
      </w:r>
    </w:p>
    <w:p w14:paraId="354E1012" w14:textId="77777777" w:rsidR="00A85C01" w:rsidRDefault="00A85C01" w:rsidP="00A85C01">
      <w:pPr>
        <w:numPr>
          <w:ilvl w:val="0"/>
          <w:numId w:val="1"/>
        </w:numPr>
        <w:spacing w:before="100" w:beforeAutospacing="1" w:after="100" w:afterAutospacing="1"/>
      </w:pPr>
      <w:r>
        <w:rPr>
          <w:rStyle w:val="Forte"/>
        </w:rPr>
        <w:t>32%</w:t>
      </w:r>
      <w:r>
        <w:t>: aumento no custo de capital e da dívida</w:t>
      </w:r>
    </w:p>
    <w:p w14:paraId="0ECB4B26" w14:textId="77777777" w:rsidR="00A85C01" w:rsidRDefault="00A85C01" w:rsidP="00A85C01">
      <w:pPr>
        <w:numPr>
          <w:ilvl w:val="0"/>
          <w:numId w:val="1"/>
        </w:numPr>
        <w:spacing w:before="100" w:beforeAutospacing="1" w:after="100" w:afterAutospacing="1"/>
      </w:pPr>
      <w:r>
        <w:rPr>
          <w:rStyle w:val="Forte"/>
        </w:rPr>
        <w:t>30%</w:t>
      </w:r>
      <w:r>
        <w:t>: inflação, aumento de custos e poder de precificação</w:t>
      </w:r>
    </w:p>
    <w:p w14:paraId="280EA4A8" w14:textId="77777777" w:rsidR="00A85C01" w:rsidRDefault="00A85C01" w:rsidP="00A85C01">
      <w:pPr>
        <w:numPr>
          <w:ilvl w:val="0"/>
          <w:numId w:val="1"/>
        </w:numPr>
        <w:spacing w:before="100" w:beforeAutospacing="1" w:after="100" w:afterAutospacing="1"/>
      </w:pPr>
      <w:r>
        <w:rPr>
          <w:rStyle w:val="Forte"/>
        </w:rPr>
        <w:t>23%</w:t>
      </w:r>
      <w:r>
        <w:t>: variabilidade das perspectivas econômicas globais</w:t>
      </w:r>
    </w:p>
    <w:p w14:paraId="54CF8F2E" w14:textId="77777777" w:rsidR="00A85C01" w:rsidRDefault="00A85C01" w:rsidP="00A85C01">
      <w:pPr>
        <w:pStyle w:val="ember-view"/>
      </w:pPr>
      <w:r>
        <w:t>Na alocação de capital,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35%</w:t>
      </w:r>
      <w:r>
        <w:rPr>
          <w:rStyle w:val="white-space-pre"/>
          <w:rFonts w:eastAsiaTheme="majorEastAsia"/>
        </w:rPr>
        <w:t xml:space="preserve"> </w:t>
      </w:r>
      <w:r>
        <w:t xml:space="preserve">apontam sustentabilidade financeira e estrutura de capital como principal foco. </w:t>
      </w:r>
    </w:p>
    <w:p w14:paraId="39B4C2DC" w14:textId="77777777" w:rsidR="00A85C01" w:rsidRDefault="00A85C01" w:rsidP="00A85C01">
      <w:pPr>
        <w:pStyle w:val="ember-view"/>
      </w:pPr>
      <w:r>
        <w:t>Esse dado revela uma mudança qualitativa importante: não se trata apenas de “crescer”, mas de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crescer com estrutura adequada</w:t>
      </w:r>
      <w:r>
        <w:t xml:space="preserve">, disciplina de investimentos e retorno consistente ao acionista. </w:t>
      </w:r>
    </w:p>
    <w:p w14:paraId="66A44205" w14:textId="77777777" w:rsidR="00A85C01" w:rsidRDefault="00A85C01" w:rsidP="00A85C01">
      <w:pPr>
        <w:pStyle w:val="ember-view"/>
      </w:pPr>
      <w:r>
        <w:t>O relatório ainda menciona que o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Índice Global de Incerteza (WUI)</w:t>
      </w:r>
      <w:r>
        <w:rPr>
          <w:rStyle w:val="white-space-pre"/>
          <w:rFonts w:eastAsiaTheme="majorEastAsia"/>
        </w:rPr>
        <w:t xml:space="preserve"> </w:t>
      </w:r>
      <w:r>
        <w:t xml:space="preserve">atingiu em 2025 o maior nível desde o início da série histórica, em 2008. Em um cenário como esse, decisões de M&amp;A, desinvestimentos e P&amp;D deixam de ser movimentos oportunísticos e passam a ser decisões profundamente estratégicas — com impacto direto na perenidade do negócio. </w:t>
      </w:r>
    </w:p>
    <w:p w14:paraId="46859A53" w14:textId="77777777" w:rsidR="00A85C01" w:rsidRDefault="00A85C01" w:rsidP="00A85C01">
      <w:pPr>
        <w:pStyle w:val="ember-view"/>
      </w:pPr>
      <w:r>
        <w:t xml:space="preserve">Para empresas familiares, esse contexto é ainda mais sensível: capital mais caro reduz margem para erro e amplia a necessidade de governança robusta na definição de prioridades. </w:t>
      </w:r>
    </w:p>
    <w:p w14:paraId="0E7E3A32" w14:textId="77777777" w:rsidR="00A85C01" w:rsidRDefault="00A85C01" w:rsidP="00A85C01">
      <w:pPr>
        <w:pStyle w:val="Ttulo3"/>
      </w:pPr>
      <w:r>
        <w:t xml:space="preserve">2. A IA sai da eficiência e entra na estratégia </w:t>
      </w:r>
    </w:p>
    <w:p w14:paraId="1B8B540D" w14:textId="77777777" w:rsidR="00A85C01" w:rsidRDefault="00A85C01" w:rsidP="00A85C01">
      <w:pPr>
        <w:pStyle w:val="ember-view"/>
      </w:pPr>
      <w:r>
        <w:t xml:space="preserve">Se o capital impõe disciplina, a tecnologia impõe transformação. </w:t>
      </w:r>
    </w:p>
    <w:p w14:paraId="4B243FED" w14:textId="77777777" w:rsidR="00A85C01" w:rsidRDefault="00A85C01" w:rsidP="00A85C01">
      <w:pPr>
        <w:pStyle w:val="ember-view"/>
      </w:pPr>
      <w:r>
        <w:t>A pesquisa mostra que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a evolução da inteligência artificial foi citada como o principal impulsionador de mudanças estratégicas em 2026</w:t>
      </w:r>
      <w:r>
        <w:t xml:space="preserve">. </w:t>
      </w:r>
    </w:p>
    <w:p w14:paraId="2732D024" w14:textId="77777777" w:rsidR="00A85C01" w:rsidRDefault="00A85C01" w:rsidP="00A85C01">
      <w:pPr>
        <w:pStyle w:val="ember-view"/>
      </w:pPr>
    </w:p>
    <w:p w14:paraId="48B552B2" w14:textId="39706080" w:rsidR="00A85C01" w:rsidRDefault="00A85C01" w:rsidP="00A85C01">
      <w:pPr>
        <w:pStyle w:val="ember-view"/>
      </w:pPr>
      <w:r>
        <w:t xml:space="preserve">Alguns números chamam atenção: </w:t>
      </w:r>
    </w:p>
    <w:p w14:paraId="6F324A35" w14:textId="77777777" w:rsidR="00A85C01" w:rsidRDefault="00A85C01" w:rsidP="00A85C01">
      <w:pPr>
        <w:numPr>
          <w:ilvl w:val="0"/>
          <w:numId w:val="2"/>
        </w:numPr>
        <w:spacing w:before="100" w:beforeAutospacing="1" w:after="100" w:afterAutospacing="1"/>
      </w:pPr>
      <w:r>
        <w:rPr>
          <w:rStyle w:val="Forte"/>
        </w:rPr>
        <w:t>82%</w:t>
      </w:r>
      <w:r>
        <w:rPr>
          <w:rStyle w:val="white-space-pre"/>
        </w:rPr>
        <w:t xml:space="preserve"> </w:t>
      </w:r>
      <w:r>
        <w:t>já iniciaram ou planejam uso de IA para eficiência e redução de custos.</w:t>
      </w:r>
    </w:p>
    <w:p w14:paraId="7755C165" w14:textId="77777777" w:rsidR="00A85C01" w:rsidRDefault="00A85C01" w:rsidP="00A85C01">
      <w:pPr>
        <w:numPr>
          <w:ilvl w:val="0"/>
          <w:numId w:val="2"/>
        </w:numPr>
        <w:spacing w:before="100" w:beforeAutospacing="1" w:after="100" w:afterAutospacing="1"/>
      </w:pPr>
      <w:r>
        <w:t>Apenas</w:t>
      </w:r>
      <w:r>
        <w:rPr>
          <w:rStyle w:val="white-space-pre"/>
        </w:rPr>
        <w:t xml:space="preserve"> </w:t>
      </w:r>
      <w:r>
        <w:rPr>
          <w:rStyle w:val="Forte"/>
        </w:rPr>
        <w:t>55%</w:t>
      </w:r>
      <w:r>
        <w:rPr>
          <w:rStyle w:val="white-space-pre"/>
        </w:rPr>
        <w:t xml:space="preserve"> </w:t>
      </w:r>
      <w:r>
        <w:t>estão na mesma fase quando se trata de disrupção do modelo de negócios.</w:t>
      </w:r>
    </w:p>
    <w:p w14:paraId="2FE94058" w14:textId="77777777" w:rsidR="00A85C01" w:rsidRDefault="00A85C01" w:rsidP="00A85C01">
      <w:pPr>
        <w:pStyle w:val="ember-view"/>
      </w:pPr>
      <w:r>
        <w:t xml:space="preserve">Esse descompasso revela algo relevante: a IA ainda é majoritariamente tratada como ferramenta de produtividade, não como alavanca de reinvenção estratégica. </w:t>
      </w:r>
    </w:p>
    <w:p w14:paraId="2256452A" w14:textId="77777777" w:rsidR="00A85C01" w:rsidRDefault="00A85C01" w:rsidP="00A85C01">
      <w:pPr>
        <w:pStyle w:val="ember-view"/>
      </w:pPr>
      <w:r>
        <w:t xml:space="preserve">Entre as maiores preocupações em inovação: </w:t>
      </w:r>
    </w:p>
    <w:p w14:paraId="62A823E3" w14:textId="77777777" w:rsidR="00A85C01" w:rsidRDefault="00A85C01" w:rsidP="00A85C01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Forte"/>
        </w:rPr>
        <w:t>37%</w:t>
      </w:r>
      <w:r>
        <w:t>: mudanças no modelo de negócio e crescimento via tecnologia</w:t>
      </w:r>
    </w:p>
    <w:p w14:paraId="6775AE2E" w14:textId="77777777" w:rsidR="00A85C01" w:rsidRDefault="00A85C01" w:rsidP="00A85C01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Forte"/>
        </w:rPr>
        <w:t>33%</w:t>
      </w:r>
      <w:r>
        <w:t>: eficiências operacionais</w:t>
      </w:r>
    </w:p>
    <w:p w14:paraId="28A7F813" w14:textId="77777777" w:rsidR="00A85C01" w:rsidRDefault="00A85C01" w:rsidP="00A85C01">
      <w:pPr>
        <w:numPr>
          <w:ilvl w:val="0"/>
          <w:numId w:val="3"/>
        </w:numPr>
        <w:spacing w:before="100" w:beforeAutospacing="1" w:after="100" w:afterAutospacing="1"/>
      </w:pPr>
      <w:r>
        <w:t>Apenas</w:t>
      </w:r>
      <w:r>
        <w:rPr>
          <w:rStyle w:val="white-space-pre"/>
        </w:rPr>
        <w:t xml:space="preserve"> </w:t>
      </w:r>
      <w:r>
        <w:rPr>
          <w:rStyle w:val="Forte"/>
        </w:rPr>
        <w:t>4%</w:t>
      </w:r>
      <w:r>
        <w:t>: riscos legais e éticos</w:t>
      </w:r>
    </w:p>
    <w:p w14:paraId="4EE4B0D1" w14:textId="77777777" w:rsidR="00A85C01" w:rsidRDefault="00A85C01" w:rsidP="00A85C01">
      <w:pPr>
        <w:pStyle w:val="ember-view"/>
      </w:pPr>
      <w:r>
        <w:t>O dado sobre riscos legais e éticos merece atenção. Em um ambiente regulatório em evolução e com maior escrutínio público, a baixa priorização pode indicar subestimação do tema — especialmente considerando que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65%</w:t>
      </w:r>
      <w:r>
        <w:rPr>
          <w:rStyle w:val="white-space-pre"/>
          <w:rFonts w:eastAsiaTheme="majorEastAsia"/>
        </w:rPr>
        <w:t xml:space="preserve"> </w:t>
      </w:r>
      <w:r>
        <w:t xml:space="preserve">apontam cibersegurança e privacidade de dados como foco relevante para 2026. </w:t>
      </w:r>
    </w:p>
    <w:p w14:paraId="36601971" w14:textId="77777777" w:rsidR="00A85C01" w:rsidRDefault="00A85C01" w:rsidP="00A85C01">
      <w:pPr>
        <w:pStyle w:val="ember-view"/>
      </w:pPr>
      <w:r>
        <w:t>Além disso,</w:t>
      </w:r>
      <w:r>
        <w:rPr>
          <w:rStyle w:val="white-space-pre"/>
          <w:rFonts w:eastAsiaTheme="majorEastAsia"/>
        </w:rPr>
        <w:t xml:space="preserve"> </w:t>
      </w:r>
      <w:r>
        <w:rPr>
          <w:rStyle w:val="Forte"/>
        </w:rPr>
        <w:t>40% e 54%</w:t>
      </w:r>
      <w:r>
        <w:rPr>
          <w:rStyle w:val="white-space-pre"/>
          <w:rFonts w:eastAsiaTheme="majorEastAsia"/>
        </w:rPr>
        <w:t xml:space="preserve"> </w:t>
      </w:r>
      <w:r>
        <w:t xml:space="preserve">afirmam que conselhos dedicam tempo e recursos insuficientes à cibersegurança. Ou seja: reconhece-se a importância, mas a estrutura ainda não acompanha o risco. </w:t>
      </w:r>
    </w:p>
    <w:p w14:paraId="1FBCE3E3" w14:textId="77777777" w:rsidR="00A85C01" w:rsidRDefault="00A85C01" w:rsidP="00A85C01">
      <w:pPr>
        <w:pStyle w:val="Ttulo3"/>
      </w:pPr>
      <w:r>
        <w:t xml:space="preserve">3. O conselho olhando para si mesmo </w:t>
      </w:r>
    </w:p>
    <w:p w14:paraId="2C7F3B28" w14:textId="77777777" w:rsidR="00A85C01" w:rsidRDefault="00A85C01" w:rsidP="00A85C01">
      <w:pPr>
        <w:pStyle w:val="ember-view"/>
      </w:pPr>
      <w:r>
        <w:t xml:space="preserve">Talvez a parte mais interessante do estudo seja quando o foco se volta para a própria estrutura dos conselhos. </w:t>
      </w:r>
    </w:p>
    <w:p w14:paraId="280D3025" w14:textId="77777777" w:rsidR="00A85C01" w:rsidRDefault="00A85C01" w:rsidP="00A85C01">
      <w:pPr>
        <w:pStyle w:val="ember-view"/>
      </w:pPr>
      <w:r>
        <w:t xml:space="preserve">Sobre preparação para supervisionar IA: </w:t>
      </w:r>
    </w:p>
    <w:p w14:paraId="1CFCC147" w14:textId="77777777" w:rsidR="00A85C01" w:rsidRDefault="00A85C01" w:rsidP="00A85C01">
      <w:pPr>
        <w:numPr>
          <w:ilvl w:val="0"/>
          <w:numId w:val="4"/>
        </w:numPr>
        <w:spacing w:before="100" w:beforeAutospacing="1" w:after="100" w:afterAutospacing="1"/>
      </w:pPr>
      <w:r>
        <w:rPr>
          <w:rStyle w:val="Forte"/>
        </w:rPr>
        <w:t>40%</w:t>
      </w:r>
      <w:r>
        <w:rPr>
          <w:rStyle w:val="white-space-pre"/>
        </w:rPr>
        <w:t xml:space="preserve"> </w:t>
      </w:r>
      <w:r>
        <w:t>dizem contar com ao menos um membro com conhecimento no tema</w:t>
      </w:r>
    </w:p>
    <w:p w14:paraId="278F7F5C" w14:textId="77777777" w:rsidR="00A85C01" w:rsidRDefault="00A85C01" w:rsidP="00A85C01">
      <w:pPr>
        <w:numPr>
          <w:ilvl w:val="0"/>
          <w:numId w:val="4"/>
        </w:numPr>
        <w:spacing w:before="100" w:beforeAutospacing="1" w:after="100" w:afterAutospacing="1"/>
      </w:pPr>
      <w:r>
        <w:rPr>
          <w:rStyle w:val="Forte"/>
        </w:rPr>
        <w:t>38%</w:t>
      </w:r>
      <w:r>
        <w:rPr>
          <w:rStyle w:val="white-space-pre"/>
        </w:rPr>
        <w:t xml:space="preserve"> </w:t>
      </w:r>
      <w:r>
        <w:t>dependem apenas do time executivo</w:t>
      </w:r>
    </w:p>
    <w:p w14:paraId="4715B999" w14:textId="77777777" w:rsidR="00A85C01" w:rsidRDefault="00A85C01" w:rsidP="00A85C01">
      <w:pPr>
        <w:numPr>
          <w:ilvl w:val="0"/>
          <w:numId w:val="4"/>
        </w:numPr>
        <w:spacing w:before="100" w:beforeAutospacing="1" w:after="100" w:afterAutospacing="1"/>
      </w:pPr>
      <w:r>
        <w:rPr>
          <w:rStyle w:val="Forte"/>
        </w:rPr>
        <w:t>34%</w:t>
      </w:r>
      <w:r>
        <w:rPr>
          <w:rStyle w:val="white-space-pre"/>
        </w:rPr>
        <w:t xml:space="preserve"> </w:t>
      </w:r>
      <w:r>
        <w:t>utilizam consultores externos</w:t>
      </w:r>
    </w:p>
    <w:p w14:paraId="277DFFDF" w14:textId="77777777" w:rsidR="00A85C01" w:rsidRDefault="00A85C01" w:rsidP="00A85C01">
      <w:pPr>
        <w:pStyle w:val="ember-view"/>
      </w:pPr>
      <w:r>
        <w:t xml:space="preserve">Quanto à estrutura formal: </w:t>
      </w:r>
    </w:p>
    <w:p w14:paraId="27CDC6F6" w14:textId="77777777" w:rsidR="00A85C01" w:rsidRDefault="00A85C01" w:rsidP="00A85C01">
      <w:pPr>
        <w:numPr>
          <w:ilvl w:val="0"/>
          <w:numId w:val="5"/>
        </w:numPr>
        <w:spacing w:before="100" w:beforeAutospacing="1" w:after="100" w:afterAutospacing="1"/>
      </w:pPr>
      <w:r>
        <w:rPr>
          <w:rStyle w:val="Forte"/>
        </w:rPr>
        <w:t>58%</w:t>
      </w:r>
      <w:r>
        <w:rPr>
          <w:rStyle w:val="white-space-pre"/>
        </w:rPr>
        <w:t xml:space="preserve"> </w:t>
      </w:r>
      <w:r>
        <w:t>tratam IA na estrutura tradicional, sem criação de comitê específico.</w:t>
      </w:r>
    </w:p>
    <w:p w14:paraId="1C5680A5" w14:textId="77777777" w:rsidR="00A85C01" w:rsidRDefault="00A85C01" w:rsidP="00A85C01">
      <w:pPr>
        <w:pStyle w:val="ember-view"/>
      </w:pPr>
      <w:r>
        <w:t xml:space="preserve">Isso pode indicar pragmatismo — ou atraso estrutural. </w:t>
      </w:r>
    </w:p>
    <w:p w14:paraId="3D91F30A" w14:textId="77777777" w:rsidR="00A85C01" w:rsidRDefault="00A85C01" w:rsidP="00A85C01">
      <w:pPr>
        <w:pStyle w:val="ember-view"/>
      </w:pPr>
      <w:r>
        <w:t xml:space="preserve">Outro ponto sensível é sucessão e diversidade: </w:t>
      </w:r>
    </w:p>
    <w:p w14:paraId="232589D8" w14:textId="77777777" w:rsidR="00A85C01" w:rsidRDefault="00A85C01" w:rsidP="00A85C01">
      <w:pPr>
        <w:numPr>
          <w:ilvl w:val="0"/>
          <w:numId w:val="6"/>
        </w:numPr>
        <w:spacing w:before="100" w:beforeAutospacing="1" w:after="100" w:afterAutospacing="1"/>
      </w:pPr>
      <w:r>
        <w:t>Apenas</w:t>
      </w:r>
      <w:r>
        <w:rPr>
          <w:rStyle w:val="white-space-pre"/>
        </w:rPr>
        <w:t xml:space="preserve"> </w:t>
      </w:r>
      <w:r>
        <w:rPr>
          <w:rStyle w:val="Forte"/>
        </w:rPr>
        <w:t>26%</w:t>
      </w:r>
      <w:r>
        <w:rPr>
          <w:rStyle w:val="white-space-pre"/>
        </w:rPr>
        <w:t xml:space="preserve"> </w:t>
      </w:r>
      <w:r>
        <w:t>concordam que o conselho está preparado para rotatividade e sucessão</w:t>
      </w:r>
    </w:p>
    <w:p w14:paraId="7225FAAF" w14:textId="77777777" w:rsidR="00A85C01" w:rsidRDefault="00A85C01" w:rsidP="00A85C01">
      <w:pPr>
        <w:numPr>
          <w:ilvl w:val="0"/>
          <w:numId w:val="6"/>
        </w:numPr>
        <w:spacing w:before="100" w:beforeAutospacing="1" w:after="100" w:afterAutospacing="1"/>
      </w:pPr>
      <w:r>
        <w:rPr>
          <w:rStyle w:val="Forte"/>
        </w:rPr>
        <w:t>54%</w:t>
      </w:r>
      <w:r>
        <w:rPr>
          <w:rStyle w:val="white-space-pre"/>
        </w:rPr>
        <w:t xml:space="preserve"> </w:t>
      </w:r>
      <w:r>
        <w:t>afirmam que o conselho tem estrutura diversa</w:t>
      </w:r>
    </w:p>
    <w:p w14:paraId="1B669980" w14:textId="77777777" w:rsidR="00A85C01" w:rsidRDefault="00A85C01" w:rsidP="00A85C01">
      <w:pPr>
        <w:spacing w:before="100" w:beforeAutospacing="1" w:after="100" w:afterAutospacing="1"/>
      </w:pPr>
    </w:p>
    <w:p w14:paraId="360EF5E6" w14:textId="77777777" w:rsidR="00A85C01" w:rsidRDefault="00A85C01" w:rsidP="00A85C01">
      <w:pPr>
        <w:numPr>
          <w:ilvl w:val="0"/>
          <w:numId w:val="6"/>
        </w:numPr>
        <w:spacing w:before="100" w:beforeAutospacing="1" w:after="100" w:afterAutospacing="1"/>
      </w:pPr>
      <w:r>
        <w:rPr>
          <w:rStyle w:val="Forte"/>
        </w:rPr>
        <w:t>37%</w:t>
      </w:r>
      <w:r>
        <w:rPr>
          <w:rStyle w:val="white-space-pre"/>
        </w:rPr>
        <w:t xml:space="preserve"> </w:t>
      </w:r>
      <w:r>
        <w:t>acreditam que será necessário alterar estatutos ou criar novos comitês nos próximos três anos.</w:t>
      </w:r>
    </w:p>
    <w:p w14:paraId="76FC48CD" w14:textId="77777777" w:rsidR="00A85C01" w:rsidRDefault="00A85C01" w:rsidP="00A85C01">
      <w:pPr>
        <w:pStyle w:val="ember-view"/>
      </w:pPr>
      <w:r>
        <w:t xml:space="preserve">A sucessão de conselheiros e executivos aparece como tema crítico. Em um cenário de transformação acelerada, a renovação deixa de ser evento pontual e passa a ser mecanismo estratégico de adaptação. </w:t>
      </w:r>
    </w:p>
    <w:p w14:paraId="4781CEEB" w14:textId="77777777" w:rsidR="00A85C01" w:rsidRDefault="00A85C01" w:rsidP="00A85C01">
      <w:pPr>
        <w:pStyle w:val="Ttulo3"/>
      </w:pPr>
      <w:r>
        <w:t xml:space="preserve">Reflexão final: governança como vantagem competitiva </w:t>
      </w:r>
    </w:p>
    <w:p w14:paraId="59EBDD2B" w14:textId="77777777" w:rsidR="00A85C01" w:rsidRDefault="00A85C01" w:rsidP="00A85C01">
      <w:pPr>
        <w:pStyle w:val="ember-view"/>
      </w:pPr>
      <w:r>
        <w:t xml:space="preserve">O relatório da EY não aponta apenas prioridades. Ele revela uma tensão central: </w:t>
      </w:r>
    </w:p>
    <w:p w14:paraId="4890A59E" w14:textId="77777777" w:rsidR="00A85C01" w:rsidRDefault="00A85C01" w:rsidP="00A85C01">
      <w:pPr>
        <w:numPr>
          <w:ilvl w:val="0"/>
          <w:numId w:val="7"/>
        </w:numPr>
        <w:spacing w:before="100" w:beforeAutospacing="1" w:after="100" w:afterAutospacing="1"/>
      </w:pPr>
      <w:r>
        <w:t>De um lado, capital caro e volatilidade exigem prudência.</w:t>
      </w:r>
    </w:p>
    <w:p w14:paraId="702E86EC" w14:textId="77777777" w:rsidR="00A85C01" w:rsidRDefault="00A85C01" w:rsidP="00A85C01">
      <w:pPr>
        <w:numPr>
          <w:ilvl w:val="0"/>
          <w:numId w:val="7"/>
        </w:numPr>
        <w:spacing w:before="100" w:beforeAutospacing="1" w:after="100" w:afterAutospacing="1"/>
      </w:pPr>
      <w:r>
        <w:t>De outro, tecnologia e transformação exigem ousadia.</w:t>
      </w:r>
    </w:p>
    <w:p w14:paraId="43FAF47C" w14:textId="77777777" w:rsidR="00A85C01" w:rsidRDefault="00A85C01" w:rsidP="00A85C01">
      <w:pPr>
        <w:numPr>
          <w:ilvl w:val="0"/>
          <w:numId w:val="7"/>
        </w:numPr>
        <w:spacing w:before="100" w:beforeAutospacing="1" w:after="100" w:afterAutospacing="1"/>
      </w:pPr>
      <w:r>
        <w:t>No meio, riscos climáticos e cibernéticos exigem preparação estrutural.</w:t>
      </w:r>
    </w:p>
    <w:p w14:paraId="0D821057" w14:textId="77777777" w:rsidR="00A85C01" w:rsidRDefault="00A85C01" w:rsidP="00A85C01">
      <w:pPr>
        <w:pStyle w:val="ember-view"/>
      </w:pPr>
      <w:r>
        <w:t xml:space="preserve">O conselho que prosperará em 2026 não será apenas aquele que “acompanha” a gestão, mas o que consegue: </w:t>
      </w:r>
    </w:p>
    <w:p w14:paraId="51B9A488" w14:textId="77777777" w:rsidR="00A85C01" w:rsidRDefault="00A85C01" w:rsidP="00A85C01">
      <w:pPr>
        <w:numPr>
          <w:ilvl w:val="0"/>
          <w:numId w:val="8"/>
        </w:numPr>
        <w:spacing w:before="100" w:beforeAutospacing="1" w:after="100" w:afterAutospacing="1"/>
      </w:pPr>
      <w:r>
        <w:t>Equilibrar disciplina financeira com visão de longo prazo</w:t>
      </w:r>
    </w:p>
    <w:p w14:paraId="59E9E7D2" w14:textId="77777777" w:rsidR="00A85C01" w:rsidRDefault="00A85C01" w:rsidP="00A85C01">
      <w:pPr>
        <w:numPr>
          <w:ilvl w:val="0"/>
          <w:numId w:val="8"/>
        </w:numPr>
        <w:spacing w:before="100" w:beforeAutospacing="1" w:after="100" w:afterAutospacing="1"/>
      </w:pPr>
      <w:r>
        <w:t>Tratar IA como estratégia — não apenas como ferramenta</w:t>
      </w:r>
    </w:p>
    <w:p w14:paraId="7D6F4B23" w14:textId="77777777" w:rsidR="00A85C01" w:rsidRDefault="00A85C01" w:rsidP="00A85C01">
      <w:pPr>
        <w:numPr>
          <w:ilvl w:val="0"/>
          <w:numId w:val="8"/>
        </w:numPr>
        <w:spacing w:before="100" w:beforeAutospacing="1" w:after="100" w:afterAutospacing="1"/>
      </w:pPr>
      <w:r>
        <w:t>Antecipar riscos climáticos e cibernéticos</w:t>
      </w:r>
    </w:p>
    <w:p w14:paraId="31A2747A" w14:textId="77777777" w:rsidR="00A85C01" w:rsidRDefault="00A85C01" w:rsidP="00A85C01">
      <w:pPr>
        <w:numPr>
          <w:ilvl w:val="0"/>
          <w:numId w:val="8"/>
        </w:numPr>
        <w:spacing w:before="100" w:beforeAutospacing="1" w:after="100" w:afterAutospacing="1"/>
      </w:pPr>
      <w:r>
        <w:t>Revisar sua própria estrutura antes que ela se torne obsoleta</w:t>
      </w:r>
    </w:p>
    <w:p w14:paraId="405B426A" w14:textId="77777777" w:rsidR="00A85C01" w:rsidRDefault="00A85C01" w:rsidP="00A85C01">
      <w:pPr>
        <w:pStyle w:val="ember-view"/>
      </w:pPr>
      <w:r>
        <w:t xml:space="preserve">A governança deixa de ser mecanismo de controle e passa a ser instrumento de competitividade. </w:t>
      </w:r>
    </w:p>
    <w:p w14:paraId="080FAB09" w14:textId="77777777" w:rsidR="00A85C01" w:rsidRDefault="00A85C01" w:rsidP="00A85C01">
      <w:pPr>
        <w:pStyle w:val="ember-view"/>
      </w:pPr>
      <w:r>
        <w:t xml:space="preserve">E talvez essa seja a principal mensagem do estudo: em tempos de incerteza estrutural, o diferencial não está apenas no mercado — está na qualidade das decisões tomadas na sala do conselho. </w:t>
      </w:r>
    </w:p>
    <w:p w14:paraId="6466F88A" w14:textId="77777777" w:rsidR="00D041DA" w:rsidRPr="006016DA" w:rsidRDefault="00D041DA" w:rsidP="00A85C01">
      <w:pPr>
        <w:spacing w:before="100" w:beforeAutospacing="1" w:after="100" w:afterAutospacing="1"/>
        <w:outlineLvl w:val="1"/>
        <w:rPr>
          <w:rFonts w:ascii="Calibri" w:hAnsi="Calibri" w:cs="Calibri"/>
        </w:rPr>
      </w:pPr>
    </w:p>
    <w:sectPr w:rsidR="00D041DA" w:rsidRPr="006016DA" w:rsidSect="008539E0">
      <w:headerReference w:type="default" r:id="rId8"/>
      <w:pgSz w:w="11900" w:h="16820"/>
      <w:pgMar w:top="1921" w:right="84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ECAB2" w14:textId="77777777" w:rsidR="0001408E" w:rsidRDefault="0001408E" w:rsidP="008539E0">
      <w:r>
        <w:separator/>
      </w:r>
    </w:p>
  </w:endnote>
  <w:endnote w:type="continuationSeparator" w:id="0">
    <w:p w14:paraId="08B15AB7" w14:textId="77777777" w:rsidR="0001408E" w:rsidRDefault="0001408E" w:rsidP="00853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DCCBE" w14:textId="77777777" w:rsidR="0001408E" w:rsidRDefault="0001408E" w:rsidP="008539E0">
      <w:r>
        <w:separator/>
      </w:r>
    </w:p>
  </w:footnote>
  <w:footnote w:type="continuationSeparator" w:id="0">
    <w:p w14:paraId="5842FDCF" w14:textId="77777777" w:rsidR="0001408E" w:rsidRDefault="0001408E" w:rsidP="00853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1C702" w14:textId="43A3EBE9" w:rsidR="008539E0" w:rsidRDefault="00D041DA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9E1121" wp14:editId="2131368C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578435" cy="10724442"/>
          <wp:effectExtent l="0" t="0" r="0" b="0"/>
          <wp:wrapNone/>
          <wp:docPr id="6536532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65321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35" cy="107244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72690"/>
    <w:multiLevelType w:val="multilevel"/>
    <w:tmpl w:val="1C9A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55738"/>
    <w:multiLevelType w:val="multilevel"/>
    <w:tmpl w:val="AB44D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395627"/>
    <w:multiLevelType w:val="multilevel"/>
    <w:tmpl w:val="BAD86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E325A"/>
    <w:multiLevelType w:val="multilevel"/>
    <w:tmpl w:val="B43A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561FD6"/>
    <w:multiLevelType w:val="multilevel"/>
    <w:tmpl w:val="1B72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AE1993"/>
    <w:multiLevelType w:val="multilevel"/>
    <w:tmpl w:val="B45A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8074D7"/>
    <w:multiLevelType w:val="multilevel"/>
    <w:tmpl w:val="80F00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F0B0B"/>
    <w:multiLevelType w:val="multilevel"/>
    <w:tmpl w:val="C2A6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6989852">
    <w:abstractNumId w:val="6"/>
  </w:num>
  <w:num w:numId="2" w16cid:durableId="121853689">
    <w:abstractNumId w:val="1"/>
  </w:num>
  <w:num w:numId="3" w16cid:durableId="1071083313">
    <w:abstractNumId w:val="5"/>
  </w:num>
  <w:num w:numId="4" w16cid:durableId="994257492">
    <w:abstractNumId w:val="0"/>
  </w:num>
  <w:num w:numId="5" w16cid:durableId="286005636">
    <w:abstractNumId w:val="3"/>
  </w:num>
  <w:num w:numId="6" w16cid:durableId="1343122264">
    <w:abstractNumId w:val="2"/>
  </w:num>
  <w:num w:numId="7" w16cid:durableId="1932348195">
    <w:abstractNumId w:val="7"/>
  </w:num>
  <w:num w:numId="8" w16cid:durableId="3501866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9E0"/>
    <w:rsid w:val="0001408E"/>
    <w:rsid w:val="00107BE4"/>
    <w:rsid w:val="001B0113"/>
    <w:rsid w:val="003C4A7B"/>
    <w:rsid w:val="005C2A39"/>
    <w:rsid w:val="005D1977"/>
    <w:rsid w:val="006016DA"/>
    <w:rsid w:val="00691C67"/>
    <w:rsid w:val="006B725A"/>
    <w:rsid w:val="0070428B"/>
    <w:rsid w:val="007721ED"/>
    <w:rsid w:val="00775250"/>
    <w:rsid w:val="008213D7"/>
    <w:rsid w:val="008539E0"/>
    <w:rsid w:val="00A85C01"/>
    <w:rsid w:val="00C45EA5"/>
    <w:rsid w:val="00D0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1A89F"/>
  <w15:chartTrackingRefBased/>
  <w15:docId w15:val="{CAAE4AEA-2546-1848-ABFA-56B7D38C0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1">
    <w:name w:val="heading 1"/>
    <w:basedOn w:val="Normal"/>
    <w:next w:val="Normal"/>
    <w:link w:val="Ttulo1Char"/>
    <w:uiPriority w:val="9"/>
    <w:qFormat/>
    <w:rsid w:val="00A85C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7721E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7721E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539E0"/>
    <w:rPr>
      <w:rFonts w:eastAsiaTheme="minorEastAsia"/>
    </w:rPr>
  </w:style>
  <w:style w:type="paragraph" w:styleId="Rodap">
    <w:name w:val="footer"/>
    <w:basedOn w:val="Normal"/>
    <w:link w:val="RodapChar"/>
    <w:uiPriority w:val="99"/>
    <w:unhideWhenUsed/>
    <w:rsid w:val="008539E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39E0"/>
    <w:rPr>
      <w:rFonts w:eastAsiaTheme="minorEastAsia"/>
    </w:rPr>
  </w:style>
  <w:style w:type="paragraph" w:customStyle="1" w:styleId="ember-view">
    <w:name w:val="ember-view"/>
    <w:basedOn w:val="Normal"/>
    <w:rsid w:val="006016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7721ED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7721E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85C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Fontepargpadro"/>
    <w:uiPriority w:val="99"/>
    <w:semiHidden/>
    <w:unhideWhenUsed/>
    <w:rsid w:val="00A85C01"/>
    <w:rPr>
      <w:color w:val="0000FF"/>
      <w:u w:val="single"/>
    </w:rPr>
  </w:style>
  <w:style w:type="character" w:customStyle="1" w:styleId="white-space-pre">
    <w:name w:val="white-space-pre"/>
    <w:basedOn w:val="Fontepargpadro"/>
    <w:rsid w:val="00A85C01"/>
  </w:style>
  <w:style w:type="character" w:styleId="Forte">
    <w:name w:val="Strong"/>
    <w:basedOn w:val="Fontepargpadro"/>
    <w:uiPriority w:val="22"/>
    <w:qFormat/>
    <w:rsid w:val="00A85C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linkedin.com/company/ernstandyou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804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2026-10-15T21:00:00Z</dcterms:created>
  <dcterms:modified xsi:type="dcterms:W3CDTF">2026-10-15T21:00:00Z</dcterms:modified>
</cp:coreProperties>
</file>