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B0B5C" w14:textId="7A911E7D" w:rsidR="008539E0" w:rsidRPr="00D041DA" w:rsidRDefault="008539E0" w:rsidP="00D041DA">
      <w:pPr>
        <w:ind w:right="-858"/>
        <w:jc w:val="right"/>
        <w:rPr>
          <w:rFonts w:ascii="Calibri" w:hAnsi="Calibri" w:cs="Calibri"/>
          <w:lang w:val="en-US"/>
        </w:rPr>
      </w:pPr>
    </w:p>
    <w:p w14:paraId="152A4617" w14:textId="77777777" w:rsidR="00D041DA" w:rsidRPr="00D041DA" w:rsidRDefault="00D041DA" w:rsidP="00D041DA">
      <w:pPr>
        <w:rPr>
          <w:rFonts w:ascii="Calibri" w:hAnsi="Calibri" w:cs="Calibri"/>
          <w:lang w:val="en-US"/>
        </w:rPr>
      </w:pPr>
    </w:p>
    <w:p w14:paraId="4A01A8A8" w14:textId="77777777" w:rsidR="00FD3CA5" w:rsidRDefault="00FD3CA5" w:rsidP="00FD3CA5">
      <w:pPr>
        <w:pStyle w:val="Ttulo1"/>
        <w:rPr>
          <w:rFonts w:eastAsia="Times New Roman"/>
        </w:rPr>
      </w:pPr>
      <w:r>
        <w:t xml:space="preserve">Governança Corporativa em foco: o que o Relatório Anual do IBGC nos ensina? </w:t>
      </w:r>
    </w:p>
    <w:p w14:paraId="66C9D441" w14:textId="77777777" w:rsidR="00FD3CA5" w:rsidRDefault="00FD3CA5" w:rsidP="00FD3CA5">
      <w:pPr>
        <w:pStyle w:val="ember-view"/>
      </w:pPr>
      <w:r>
        <w:t>O mundo da governança corporativa está em transformação. O</w:t>
      </w:r>
      <w:r>
        <w:rPr>
          <w:rStyle w:val="white-space-pre"/>
          <w:rFonts w:eastAsiaTheme="majorEastAsia"/>
        </w:rPr>
        <w:t xml:space="preserve"> </w:t>
      </w:r>
      <w:hyperlink r:id="rId7" w:tgtFrame="_self" w:history="1">
        <w:r>
          <w:rPr>
            <w:rStyle w:val="Hyperlink"/>
          </w:rPr>
          <w:t>Relatório Anual de 2024</w:t>
        </w:r>
      </w:hyperlink>
      <w:r>
        <w:rPr>
          <w:rStyle w:val="white-space-pre"/>
          <w:rFonts w:eastAsiaTheme="majorEastAsia"/>
        </w:rPr>
        <w:t xml:space="preserve"> </w:t>
      </w:r>
      <w:r>
        <w:t>do</w:t>
      </w:r>
      <w:r>
        <w:rPr>
          <w:rStyle w:val="white-space-pre"/>
          <w:rFonts w:eastAsiaTheme="majorEastAsia"/>
        </w:rPr>
        <w:t xml:space="preserve"> </w:t>
      </w:r>
      <w:hyperlink r:id="rId8" w:history="1">
        <w:r>
          <w:rPr>
            <w:rStyle w:val="Hyperlink"/>
          </w:rPr>
          <w:t>IBGC - Instituto Brasileiro de Governança Corporativa</w:t>
        </w:r>
      </w:hyperlink>
      <w:r>
        <w:t>, publicado na última semana, traz dados e reflexões que nos mostram não apenas onde estamos, mas para onde devemos ir. Como especialista na área, destaco alguns pontos essenciais desse documento, trazendo insights sobre como as empresas – especialmente as familiares – podem se adaptar aos desafios atuais e complemento com algumas reflexões a partir do</w:t>
      </w:r>
      <w:r>
        <w:rPr>
          <w:rStyle w:val="white-space-pre"/>
          <w:rFonts w:eastAsiaTheme="majorEastAsia"/>
        </w:rPr>
        <w:t xml:space="preserve"> </w:t>
      </w:r>
      <w:hyperlink r:id="rId9" w:tgtFrame="_self" w:history="1">
        <w:proofErr w:type="spellStart"/>
        <w:r>
          <w:rPr>
            <w:rStyle w:val="Hyperlink"/>
          </w:rPr>
          <w:t>Gonew</w:t>
        </w:r>
        <w:proofErr w:type="spellEnd"/>
        <w:r>
          <w:rPr>
            <w:rStyle w:val="Hyperlink"/>
          </w:rPr>
          <w:t xml:space="preserve"> Hypes</w:t>
        </w:r>
      </w:hyperlink>
      <w:r>
        <w:t>, relatórios da</w:t>
      </w:r>
      <w:r>
        <w:rPr>
          <w:rStyle w:val="white-space-pre"/>
          <w:rFonts w:eastAsiaTheme="majorEastAsia"/>
        </w:rPr>
        <w:t xml:space="preserve"> </w:t>
      </w:r>
      <w:hyperlink r:id="rId10" w:history="1">
        <w:proofErr w:type="spellStart"/>
        <w:r>
          <w:rPr>
            <w:rStyle w:val="Hyperlink"/>
          </w:rPr>
          <w:t>Gonew.Community</w:t>
        </w:r>
        <w:proofErr w:type="spellEnd"/>
      </w:hyperlink>
      <w:r>
        <w:rPr>
          <w:rStyle w:val="white-space-pre"/>
          <w:rFonts w:eastAsiaTheme="majorEastAsia"/>
        </w:rPr>
        <w:t xml:space="preserve"> </w:t>
      </w:r>
      <w:r>
        <w:t xml:space="preserve">que aborda questões essenciais para líderes em cenários complexos. </w:t>
      </w:r>
    </w:p>
    <w:p w14:paraId="67E0C1E3" w14:textId="77777777" w:rsidR="00FD3CA5" w:rsidRDefault="00FD3CA5" w:rsidP="00FD3CA5">
      <w:pPr>
        <w:pStyle w:val="Ttulo2"/>
      </w:pPr>
      <w:r>
        <w:t xml:space="preserve">1. Governança para além da conformidade </w:t>
      </w:r>
    </w:p>
    <w:p w14:paraId="347B2078" w14:textId="77777777" w:rsidR="00FD3CA5" w:rsidRDefault="00FD3CA5" w:rsidP="00FD3CA5">
      <w:pPr>
        <w:pStyle w:val="ember-view"/>
      </w:pPr>
      <w:r>
        <w:t>Se há uma lição clara do relatório, é que a</w:t>
      </w:r>
      <w:r>
        <w:rPr>
          <w:rStyle w:val="white-space-pre"/>
          <w:rFonts w:eastAsiaTheme="majorEastAsia"/>
          <w:b/>
          <w:bCs/>
        </w:rPr>
        <w:t xml:space="preserve"> </w:t>
      </w:r>
      <w:r>
        <w:rPr>
          <w:rStyle w:val="Forte"/>
        </w:rPr>
        <w:t>governança corporativa</w:t>
      </w:r>
      <w:r>
        <w:rPr>
          <w:rStyle w:val="white-space-pre"/>
          <w:rFonts w:eastAsiaTheme="majorEastAsia"/>
        </w:rPr>
        <w:t xml:space="preserve"> </w:t>
      </w:r>
      <w:r>
        <w:t>não pode ser vista apenas como um conjunto de regras a serem seguidas. Empresas que adotam uma</w:t>
      </w:r>
      <w:r>
        <w:rPr>
          <w:rStyle w:val="white-space-pre"/>
          <w:rFonts w:eastAsiaTheme="majorEastAsia"/>
        </w:rPr>
        <w:t xml:space="preserve"> </w:t>
      </w:r>
      <w:r>
        <w:rPr>
          <w:rStyle w:val="Forte"/>
        </w:rPr>
        <w:t>visão estratégica da governança</w:t>
      </w:r>
      <w:r>
        <w:rPr>
          <w:rStyle w:val="white-space-pre"/>
          <w:rFonts w:eastAsiaTheme="majorEastAsia"/>
        </w:rPr>
        <w:t xml:space="preserve"> </w:t>
      </w:r>
      <w:r>
        <w:t xml:space="preserve">colhem benefícios que vão muito além da conformidade regulatória. </w:t>
      </w:r>
    </w:p>
    <w:p w14:paraId="729970DC" w14:textId="77777777" w:rsidR="00FD3CA5" w:rsidRDefault="00FD3CA5" w:rsidP="00FD3CA5">
      <w:pPr>
        <w:pStyle w:val="ember-view"/>
      </w:pPr>
      <w:r>
        <w:t>A implementação de boas práticas de governança melhora a transparência, aumenta a confiança dos stakeholders, torna as empresas muito mais competitivas e reduz riscos para as mesmas. Empresas com</w:t>
      </w:r>
      <w:r>
        <w:rPr>
          <w:rStyle w:val="white-space-pre"/>
          <w:rFonts w:eastAsiaTheme="majorEastAsia"/>
        </w:rPr>
        <w:t xml:space="preserve"> </w:t>
      </w:r>
      <w:r>
        <w:rPr>
          <w:rStyle w:val="Forte"/>
        </w:rPr>
        <w:t>conselhos bem estruturados</w:t>
      </w:r>
      <w:r>
        <w:rPr>
          <w:rStyle w:val="white-space-pre"/>
          <w:rFonts w:eastAsiaTheme="majorEastAsia"/>
        </w:rPr>
        <w:t xml:space="preserve"> </w:t>
      </w:r>
      <w:r>
        <w:t xml:space="preserve">tendem a ter uma gestão mais eficiente, mitigar conflitos internos e alinhar estratégias de longo prazo. </w:t>
      </w:r>
    </w:p>
    <w:p w14:paraId="038B9CE4" w14:textId="77777777" w:rsidR="00FD3CA5" w:rsidRDefault="00FD3CA5" w:rsidP="00FD3CA5">
      <w:pPr>
        <w:pStyle w:val="Ttulo3"/>
      </w:pPr>
      <w:r>
        <w:t xml:space="preserve">Reflexões </w:t>
      </w:r>
    </w:p>
    <w:p w14:paraId="1E0E78C6" w14:textId="77777777" w:rsidR="00FD3CA5" w:rsidRDefault="00FD3CA5" w:rsidP="00FD3CA5">
      <w:pPr>
        <w:pStyle w:val="ember-view"/>
      </w:pPr>
      <w:r>
        <w:t>Empresas que enxergam a</w:t>
      </w:r>
      <w:r>
        <w:rPr>
          <w:rStyle w:val="white-space-pre"/>
          <w:rFonts w:eastAsiaTheme="majorEastAsia"/>
        </w:rPr>
        <w:t xml:space="preserve"> </w:t>
      </w:r>
      <w:r>
        <w:rPr>
          <w:rStyle w:val="Forte"/>
        </w:rPr>
        <w:t>governança como um diferencial competitivo</w:t>
      </w:r>
      <w:r>
        <w:rPr>
          <w:rStyle w:val="white-space-pre"/>
          <w:rFonts w:eastAsiaTheme="majorEastAsia"/>
        </w:rPr>
        <w:t xml:space="preserve"> </w:t>
      </w:r>
      <w:r>
        <w:t xml:space="preserve">– e não como uma burocracia – se destacam em momentos de crise e incerteza. Além disso, com a evolução da sociedade nos últimos anos, a necessidade de uma governança corporativa eficaz nunca foi tão premente. Empresas que se antecipam a essas mudanças não apenas mitigam riscos, mas também criam valor sustentável a longo prazo. </w:t>
      </w:r>
    </w:p>
    <w:p w14:paraId="2C3C0246" w14:textId="77777777" w:rsidR="00FD3CA5" w:rsidRDefault="00FD3CA5" w:rsidP="00FD3CA5">
      <w:pPr>
        <w:pStyle w:val="ember-view"/>
      </w:pPr>
      <w:r>
        <w:t xml:space="preserve">Enquanto o IBGC destaca a governança como um fator essencial para competitividade, a </w:t>
      </w:r>
      <w:proofErr w:type="spellStart"/>
      <w:r>
        <w:t>Gonew</w:t>
      </w:r>
      <w:proofErr w:type="spellEnd"/>
      <w:r>
        <w:t xml:space="preserve"> provoca uma reflexão mais ampla: a governança deixou de ser apenas um mecanismo de gestão empresarial e passou a ser uma</w:t>
      </w:r>
      <w:r>
        <w:rPr>
          <w:rStyle w:val="white-space-pre"/>
          <w:rFonts w:eastAsiaTheme="majorEastAsia"/>
        </w:rPr>
        <w:t xml:space="preserve"> </w:t>
      </w:r>
      <w:r>
        <w:rPr>
          <w:rStyle w:val="Forte"/>
        </w:rPr>
        <w:t>disciplina para liderar pessoas, redes e ecossistemas</w:t>
      </w:r>
      <w:r>
        <w:t xml:space="preserve">. A governança não se restringe mais a corporações, mas se expande para contextos mais dinâmicos e descentralizados. </w:t>
      </w:r>
    </w:p>
    <w:p w14:paraId="152FEFB4" w14:textId="77777777" w:rsidR="00FD3CA5" w:rsidRDefault="00FD3CA5" w:rsidP="00FD3CA5">
      <w:pPr>
        <w:pStyle w:val="Ttulo2"/>
      </w:pPr>
      <w:r>
        <w:t xml:space="preserve">2. O desafio da governança em negócios familiares </w:t>
      </w:r>
    </w:p>
    <w:p w14:paraId="6B0B8FAD" w14:textId="77777777" w:rsidR="00FD3CA5" w:rsidRDefault="00FD3CA5" w:rsidP="00FD3CA5">
      <w:pPr>
        <w:pStyle w:val="ember-view"/>
      </w:pPr>
      <w:r>
        <w:rPr>
          <w:rStyle w:val="Forte"/>
        </w:rPr>
        <w:t>Negócios familiares</w:t>
      </w:r>
      <w:r>
        <w:rPr>
          <w:rStyle w:val="white-space-pre"/>
          <w:rFonts w:eastAsiaTheme="majorEastAsia"/>
        </w:rPr>
        <w:t xml:space="preserve"> </w:t>
      </w:r>
      <w:r>
        <w:t xml:space="preserve">têm uma complexidade própria: lidar com a sobreposição entre empresa, propriedade e família. O relatório destaca a criação do Centro de Governança da Família Empresária, uma iniciativa importante para apoiar essas organizações. </w:t>
      </w:r>
    </w:p>
    <w:p w14:paraId="07A0393B" w14:textId="77777777" w:rsidR="00FD3CA5" w:rsidRDefault="00FD3CA5" w:rsidP="00FD3CA5">
      <w:pPr>
        <w:pStyle w:val="ember-view"/>
      </w:pPr>
    </w:p>
    <w:p w14:paraId="73B0F02F" w14:textId="77777777" w:rsidR="00FD3CA5" w:rsidRDefault="00FD3CA5" w:rsidP="00FD3CA5">
      <w:pPr>
        <w:pStyle w:val="ember-view"/>
      </w:pPr>
    </w:p>
    <w:p w14:paraId="3593BE09" w14:textId="28C048AD" w:rsidR="00FD3CA5" w:rsidRDefault="00FD3CA5" w:rsidP="00FD3CA5">
      <w:pPr>
        <w:pStyle w:val="ember-view"/>
      </w:pPr>
      <w:r>
        <w:t>A</w:t>
      </w:r>
      <w:r>
        <w:rPr>
          <w:rStyle w:val="white-space-pre"/>
          <w:rFonts w:eastAsiaTheme="majorEastAsia"/>
          <w:b/>
          <w:bCs/>
        </w:rPr>
        <w:t xml:space="preserve"> </w:t>
      </w:r>
      <w:r>
        <w:rPr>
          <w:rStyle w:val="Forte"/>
        </w:rPr>
        <w:t>transição geracional</w:t>
      </w:r>
      <w:r>
        <w:rPr>
          <w:rStyle w:val="white-space-pre"/>
          <w:rFonts w:eastAsiaTheme="majorEastAsia"/>
        </w:rPr>
        <w:t xml:space="preserve"> </w:t>
      </w:r>
      <w:r>
        <w:t xml:space="preserve">continua sendo um dos maiores desafios para empresas familiares. O sucesso de uma sucessão está diretamente ligado a um planejamento estruturado, regras claras para a entrada da nova geração e mecanismos para garantir a profissionalização da gestão. </w:t>
      </w:r>
    </w:p>
    <w:p w14:paraId="7FEE1F2E" w14:textId="77777777" w:rsidR="00FD3CA5" w:rsidRDefault="00FD3CA5" w:rsidP="00FD3CA5">
      <w:pPr>
        <w:pStyle w:val="Ttulo3"/>
      </w:pPr>
      <w:r>
        <w:t xml:space="preserve">Reflexões </w:t>
      </w:r>
    </w:p>
    <w:p w14:paraId="6D2F2597" w14:textId="77777777" w:rsidR="00FD3CA5" w:rsidRDefault="00FD3CA5" w:rsidP="00FD3CA5">
      <w:pPr>
        <w:pStyle w:val="ember-view"/>
      </w:pPr>
      <w:r>
        <w:t>Famílias empresárias precisam entender que</w:t>
      </w:r>
      <w:r>
        <w:rPr>
          <w:rStyle w:val="white-space-pre"/>
          <w:rFonts w:eastAsiaTheme="majorEastAsia"/>
          <w:b/>
          <w:bCs/>
        </w:rPr>
        <w:t xml:space="preserve"> </w:t>
      </w:r>
      <w:r>
        <w:rPr>
          <w:rStyle w:val="Forte"/>
        </w:rPr>
        <w:t>governança não é apenas para grandes empresas</w:t>
      </w:r>
      <w:r>
        <w:rPr>
          <w:rStyle w:val="white-space-pre"/>
          <w:rFonts w:eastAsiaTheme="majorEastAsia"/>
        </w:rPr>
        <w:t xml:space="preserve"> </w:t>
      </w:r>
      <w:r>
        <w:t>ou para momentos de crise. Quanto antes se estruturarem, mais fácil será garantir a</w:t>
      </w:r>
      <w:r>
        <w:rPr>
          <w:rStyle w:val="white-space-pre"/>
          <w:rFonts w:eastAsiaTheme="majorEastAsia"/>
        </w:rPr>
        <w:t xml:space="preserve"> </w:t>
      </w:r>
      <w:r>
        <w:rPr>
          <w:rStyle w:val="Forte"/>
        </w:rPr>
        <w:t>longevidade</w:t>
      </w:r>
      <w:r>
        <w:rPr>
          <w:rStyle w:val="white-space-pre"/>
          <w:rFonts w:eastAsiaTheme="majorEastAsia"/>
        </w:rPr>
        <w:t xml:space="preserve"> </w:t>
      </w:r>
      <w:r>
        <w:t xml:space="preserve">do negócio. </w:t>
      </w:r>
    </w:p>
    <w:p w14:paraId="44C1F1B0" w14:textId="77777777" w:rsidR="00FD3CA5" w:rsidRDefault="00FD3CA5" w:rsidP="00FD3CA5">
      <w:pPr>
        <w:pStyle w:val="ember-view"/>
      </w:pPr>
      <w:r>
        <w:t xml:space="preserve">Além disso, a comunidade de especialistas da </w:t>
      </w:r>
      <w:proofErr w:type="spellStart"/>
      <w:r>
        <w:t>Gonew</w:t>
      </w:r>
      <w:proofErr w:type="spellEnd"/>
      <w:r>
        <w:t xml:space="preserve"> amplia essa discussão, sugerindo que as estruturas tradicionais de governança podem não ser suficientes para lidar com os novos modelos de famílias empresárias, que são mais</w:t>
      </w:r>
      <w:r>
        <w:rPr>
          <w:rStyle w:val="white-space-pre"/>
          <w:rFonts w:eastAsiaTheme="majorEastAsia"/>
          <w:b/>
          <w:bCs/>
        </w:rPr>
        <w:t xml:space="preserve"> </w:t>
      </w:r>
      <w:r>
        <w:rPr>
          <w:rStyle w:val="Forte"/>
        </w:rPr>
        <w:t>dinâmicas e interconectadas</w:t>
      </w:r>
      <w:r>
        <w:t>. A governança deve evoluir para um modelo mais flexível, onde a tomada de decisões seja mais</w:t>
      </w:r>
      <w:r>
        <w:rPr>
          <w:rStyle w:val="white-space-pre"/>
          <w:rFonts w:eastAsiaTheme="majorEastAsia"/>
        </w:rPr>
        <w:t xml:space="preserve"> </w:t>
      </w:r>
      <w:r>
        <w:rPr>
          <w:rStyle w:val="Forte"/>
        </w:rPr>
        <w:t>participativa e adaptável</w:t>
      </w:r>
      <w:r>
        <w:rPr>
          <w:rStyle w:val="white-space-pre"/>
          <w:rFonts w:eastAsiaTheme="majorEastAsia"/>
        </w:rPr>
        <w:t xml:space="preserve"> </w:t>
      </w:r>
      <w:r>
        <w:t xml:space="preserve">às mudanças geracionais e tecnológicas. </w:t>
      </w:r>
    </w:p>
    <w:p w14:paraId="5F61D310" w14:textId="77777777" w:rsidR="00FD3CA5" w:rsidRDefault="00FD3CA5" w:rsidP="00FD3CA5">
      <w:r>
        <w:t>Sobre esse tema, indico o seguinte conteúdo:</w:t>
      </w:r>
      <w:r>
        <w:rPr>
          <w:rStyle w:val="white-space-pre"/>
        </w:rPr>
        <w:t xml:space="preserve"> </w:t>
      </w:r>
      <w:hyperlink r:id="rId11" w:tgtFrame="_self" w:history="1">
        <w:r>
          <w:rPr>
            <w:rStyle w:val="Hyperlink"/>
          </w:rPr>
          <w:t>Os desafios das empresas familiares no Brasil: perspectivas, obstáculos e oportunidades</w:t>
        </w:r>
      </w:hyperlink>
      <w:r>
        <w:t xml:space="preserve"> </w:t>
      </w:r>
    </w:p>
    <w:p w14:paraId="46EAFCC1" w14:textId="77777777" w:rsidR="00FD3CA5" w:rsidRDefault="00FD3CA5" w:rsidP="00FD3CA5">
      <w:pPr>
        <w:pStyle w:val="Ttulo2"/>
      </w:pPr>
      <w:r>
        <w:t xml:space="preserve">3. Diversidade nos cargos de liderança: um avanço necessário </w:t>
      </w:r>
    </w:p>
    <w:p w14:paraId="3FEF6030" w14:textId="77777777" w:rsidR="00FD3CA5" w:rsidRDefault="00FD3CA5" w:rsidP="00FD3CA5">
      <w:pPr>
        <w:pStyle w:val="ember-view"/>
      </w:pPr>
      <w:r>
        <w:t>Outro ponto relevante do relatório é o avanço na discussão sobre</w:t>
      </w:r>
      <w:r>
        <w:rPr>
          <w:rStyle w:val="white-space-pre"/>
          <w:rFonts w:eastAsiaTheme="majorEastAsia"/>
          <w:b/>
          <w:bCs/>
        </w:rPr>
        <w:t xml:space="preserve"> </w:t>
      </w:r>
      <w:r>
        <w:rPr>
          <w:rStyle w:val="Forte"/>
        </w:rPr>
        <w:t>diversidade nos conselhos e na alta liderança</w:t>
      </w:r>
      <w:r>
        <w:t xml:space="preserve">. O IBGC ampliou a abordagem desse tema em suas pesquisas e publicações, trazendo novas perspectivas e dados essenciais para um debate mais profundo. </w:t>
      </w:r>
    </w:p>
    <w:p w14:paraId="5D49F6BD" w14:textId="77777777" w:rsidR="00FD3CA5" w:rsidRDefault="00FD3CA5" w:rsidP="00FD3CA5">
      <w:pPr>
        <w:pStyle w:val="ember-view"/>
      </w:pPr>
      <w:r>
        <w:t xml:space="preserve">Em 2024, o instituto desenvolveu sete novas publicações e outras sete pesquisas, com destaque para a inclusão do aspecto raça e da categoria de empregados na tradicional pesquisa "Análise da diversidade de gênero e raça de administradores e empregados das empresas de capital aberto". Esse avanço é fundamental, pois amplia o olhar para além dos conselhos, permitindo uma visão mais clara da estrutura organizacional como um todo. </w:t>
      </w:r>
    </w:p>
    <w:p w14:paraId="798BA0AD" w14:textId="77777777" w:rsidR="00FD3CA5" w:rsidRDefault="00FD3CA5" w:rsidP="00FD3CA5">
      <w:pPr>
        <w:pStyle w:val="ember-view"/>
      </w:pPr>
      <w:r>
        <w:t>Apesar dos avanços, muitas companhias ainda não possuem políticas estruturadas para garantir maior diversidade em seus quadros de liderança. O</w:t>
      </w:r>
      <w:r>
        <w:rPr>
          <w:rStyle w:val="white-space-pre"/>
          <w:rFonts w:eastAsiaTheme="majorEastAsia"/>
        </w:rPr>
        <w:t xml:space="preserve"> </w:t>
      </w:r>
      <w:r>
        <w:rPr>
          <w:rStyle w:val="Forte"/>
        </w:rPr>
        <w:t>compromisso com a inclusão</w:t>
      </w:r>
      <w:r>
        <w:rPr>
          <w:rStyle w:val="white-space-pre"/>
          <w:rFonts w:eastAsiaTheme="majorEastAsia"/>
        </w:rPr>
        <w:t xml:space="preserve"> </w:t>
      </w:r>
      <w:r>
        <w:t xml:space="preserve">precisa ser acompanhado de metas claras, acompanhamento dos indicadores e uma cultura corporativa que valorize diferentes perspectivas. </w:t>
      </w:r>
    </w:p>
    <w:p w14:paraId="7C9FFBE3" w14:textId="77777777" w:rsidR="00FD3CA5" w:rsidRDefault="00FD3CA5" w:rsidP="00FD3CA5">
      <w:pPr>
        <w:pStyle w:val="Ttulo3"/>
      </w:pPr>
      <w:r>
        <w:t xml:space="preserve">Reflexões </w:t>
      </w:r>
    </w:p>
    <w:p w14:paraId="208F3B03" w14:textId="77777777" w:rsidR="00FD3CA5" w:rsidRDefault="00FD3CA5" w:rsidP="00FD3CA5">
      <w:pPr>
        <w:pStyle w:val="ember-view"/>
      </w:pPr>
      <w:r>
        <w:t>Diversidade não é apenas uma questão de inclusão social – é uma</w:t>
      </w:r>
      <w:r>
        <w:rPr>
          <w:rStyle w:val="white-space-pre"/>
          <w:rFonts w:eastAsiaTheme="majorEastAsia"/>
        </w:rPr>
        <w:t xml:space="preserve"> </w:t>
      </w:r>
      <w:r>
        <w:rPr>
          <w:rStyle w:val="Forte"/>
        </w:rPr>
        <w:t>vantagem competitiva</w:t>
      </w:r>
      <w:r>
        <w:t xml:space="preserve">. Empresas que promovem diferentes perspectivas na tomada de decisão tendem a ser mais inovadoras e lucrativas. A governança precisa ser um motor para essa transformação, garantindo que o compromisso com a diversidade saia do discurso e se torne ação concreta. </w:t>
      </w:r>
    </w:p>
    <w:p w14:paraId="6EC82ADF" w14:textId="77777777" w:rsidR="00FD3CA5" w:rsidRDefault="00FD3CA5" w:rsidP="00FD3CA5">
      <w:pPr>
        <w:pStyle w:val="ember-view"/>
      </w:pPr>
    </w:p>
    <w:p w14:paraId="7660CFC3" w14:textId="77777777" w:rsidR="00FD3CA5" w:rsidRDefault="00FD3CA5" w:rsidP="00FD3CA5">
      <w:pPr>
        <w:pStyle w:val="ember-view"/>
      </w:pPr>
    </w:p>
    <w:p w14:paraId="31D7AC32" w14:textId="1021A919" w:rsidR="00FD3CA5" w:rsidRDefault="00FD3CA5" w:rsidP="00FD3CA5">
      <w:pPr>
        <w:pStyle w:val="ember-view"/>
      </w:pPr>
      <w:r>
        <w:t>Já o conceito de</w:t>
      </w:r>
      <w:r>
        <w:rPr>
          <w:rStyle w:val="white-space-pre"/>
          <w:rFonts w:eastAsiaTheme="majorEastAsia"/>
        </w:rPr>
        <w:t xml:space="preserve"> </w:t>
      </w:r>
      <w:r>
        <w:rPr>
          <w:rStyle w:val="Forte"/>
        </w:rPr>
        <w:t>governança descentralizada</w:t>
      </w:r>
      <w:r>
        <w:rPr>
          <w:rStyle w:val="white-space-pre"/>
          <w:rFonts w:eastAsiaTheme="majorEastAsia"/>
        </w:rPr>
        <w:t xml:space="preserve"> </w:t>
      </w:r>
      <w:r>
        <w:t>sugere que a diversidade não deve ser apenas um objetivo de inclusão, mas sim um mecanismo essencial para a</w:t>
      </w:r>
      <w:r>
        <w:rPr>
          <w:rStyle w:val="white-space-pre"/>
          <w:rFonts w:eastAsiaTheme="majorEastAsia"/>
        </w:rPr>
        <w:t xml:space="preserve"> </w:t>
      </w:r>
      <w:r>
        <w:rPr>
          <w:rStyle w:val="Forte"/>
        </w:rPr>
        <w:t>inovação</w:t>
      </w:r>
      <w:r>
        <w:rPr>
          <w:rStyle w:val="white-space-pre"/>
          <w:rFonts w:eastAsiaTheme="majorEastAsia"/>
        </w:rPr>
        <w:t xml:space="preserve"> </w:t>
      </w:r>
      <w:r>
        <w:t>e a evolução das empresas. A diversidade não deve ser tratada apenas como uma meta estatística, mas como parte da estrutura decisória que impulsiona</w:t>
      </w:r>
      <w:r>
        <w:rPr>
          <w:rStyle w:val="white-space-pre"/>
          <w:rFonts w:eastAsiaTheme="majorEastAsia"/>
        </w:rPr>
        <w:t xml:space="preserve"> </w:t>
      </w:r>
      <w:r>
        <w:rPr>
          <w:rStyle w:val="Forte"/>
        </w:rPr>
        <w:t>novos modelos de liderança</w:t>
      </w:r>
      <w:r>
        <w:t xml:space="preserve">. </w:t>
      </w:r>
    </w:p>
    <w:p w14:paraId="39F5C64B" w14:textId="77777777" w:rsidR="00FD3CA5" w:rsidRDefault="00FD3CA5" w:rsidP="00FD3CA5">
      <w:pPr>
        <w:pStyle w:val="Ttulo2"/>
      </w:pPr>
      <w:r>
        <w:t xml:space="preserve">4. ESG não é moda – é realidade </w:t>
      </w:r>
    </w:p>
    <w:p w14:paraId="24C4F3B4" w14:textId="77777777" w:rsidR="00FD3CA5" w:rsidRDefault="00FD3CA5" w:rsidP="00FD3CA5">
      <w:pPr>
        <w:pStyle w:val="ember-view"/>
      </w:pPr>
      <w:r>
        <w:t>O crescimento da</w:t>
      </w:r>
      <w:r>
        <w:rPr>
          <w:rStyle w:val="white-space-pre"/>
          <w:rFonts w:eastAsiaTheme="majorEastAsia"/>
        </w:rPr>
        <w:t xml:space="preserve"> </w:t>
      </w:r>
      <w:r>
        <w:rPr>
          <w:rStyle w:val="Forte"/>
        </w:rPr>
        <w:t>preocupação com ESG</w:t>
      </w:r>
      <w:r>
        <w:rPr>
          <w:rStyle w:val="white-space-pre"/>
          <w:rFonts w:eastAsiaTheme="majorEastAsia"/>
        </w:rPr>
        <w:t xml:space="preserve"> </w:t>
      </w:r>
      <w:r>
        <w:t xml:space="preserve">genuíno é evidente. No 25º Congresso IBGC, que alcançou um recorde histórico de público e registrou importante aumento na participação feminina, os temas mais discutidos giraram em torno de como as empresas podem integrar práticas ESG sem comprometer a rentabilidade. </w:t>
      </w:r>
    </w:p>
    <w:p w14:paraId="32C60CAB" w14:textId="77777777" w:rsidR="00FD3CA5" w:rsidRDefault="00FD3CA5" w:rsidP="00FD3CA5">
      <w:pPr>
        <w:pStyle w:val="ember-view"/>
      </w:pPr>
      <w:r>
        <w:t xml:space="preserve">A governança é a base da implementação de políticas ESG eficazes. Conselhos de Administração bem estruturados têm um papel essencial na definição de estratégias sustentáveis, garantindo que ESG não seja apenas uma tendência passageira, mas sim um pilar fundamental da gestão corporativa, sem tendências ", </w:t>
      </w:r>
      <w:proofErr w:type="spellStart"/>
      <w:r>
        <w:t>woke</w:t>
      </w:r>
      <w:proofErr w:type="spellEnd"/>
      <w:r>
        <w:t>", mas sim com</w:t>
      </w:r>
      <w:r>
        <w:rPr>
          <w:rStyle w:val="white-space-pre"/>
          <w:rFonts w:eastAsiaTheme="majorEastAsia"/>
        </w:rPr>
        <w:t xml:space="preserve"> </w:t>
      </w:r>
      <w:r>
        <w:rPr>
          <w:rStyle w:val="Forte"/>
        </w:rPr>
        <w:t>propósito real</w:t>
      </w:r>
      <w:r>
        <w:t xml:space="preserve">. </w:t>
      </w:r>
    </w:p>
    <w:p w14:paraId="72E0D283" w14:textId="77777777" w:rsidR="00FD3CA5" w:rsidRDefault="00FD3CA5" w:rsidP="00FD3CA5">
      <w:pPr>
        <w:pStyle w:val="Ttulo3"/>
      </w:pPr>
      <w:r>
        <w:t xml:space="preserve">Reflexões </w:t>
      </w:r>
    </w:p>
    <w:p w14:paraId="35F8D5FD" w14:textId="77777777" w:rsidR="00FD3CA5" w:rsidRDefault="00FD3CA5" w:rsidP="00FD3CA5">
      <w:pPr>
        <w:pStyle w:val="ember-view"/>
      </w:pPr>
      <w:r>
        <w:t>Governança eficiente hoje significa saber</w:t>
      </w:r>
      <w:r>
        <w:rPr>
          <w:rStyle w:val="white-space-pre"/>
          <w:rFonts w:eastAsiaTheme="majorEastAsia"/>
        </w:rPr>
        <w:t xml:space="preserve"> </w:t>
      </w:r>
      <w:r>
        <w:rPr>
          <w:rStyle w:val="Forte"/>
        </w:rPr>
        <w:t>equilibrar lucro e propósito</w:t>
      </w:r>
      <w:r>
        <w:t xml:space="preserve">. Empresas que ignoram ESG estão se tornando menos atraentes para investidores e talentos. </w:t>
      </w:r>
    </w:p>
    <w:p w14:paraId="2636220E" w14:textId="77777777" w:rsidR="00FD3CA5" w:rsidRDefault="00FD3CA5" w:rsidP="00FD3CA5">
      <w:pPr>
        <w:pStyle w:val="ember-view"/>
      </w:pPr>
      <w:r>
        <w:t xml:space="preserve">Contudo, como discutimos na </w:t>
      </w:r>
      <w:proofErr w:type="spellStart"/>
      <w:r>
        <w:t>Gonew</w:t>
      </w:r>
      <w:proofErr w:type="spellEnd"/>
      <w:r>
        <w:t>, a governança precisa ser mais responsiva e flexível para lidar com ESG de maneira realista e adaptável. A abordagem tradicional de ESG muitas vezes se torna um conjunto de normas e certificações, enquanto o verdadeiro impacto acontece quando as empresas internalizam essas práticas como</w:t>
      </w:r>
      <w:r>
        <w:rPr>
          <w:rStyle w:val="white-space-pre"/>
          <w:rFonts w:eastAsiaTheme="majorEastAsia"/>
        </w:rPr>
        <w:t xml:space="preserve"> </w:t>
      </w:r>
      <w:r>
        <w:rPr>
          <w:rStyle w:val="Forte"/>
        </w:rPr>
        <w:t>parte de sua cultura e estratégia</w:t>
      </w:r>
      <w:r>
        <w:t xml:space="preserve">. </w:t>
      </w:r>
    </w:p>
    <w:p w14:paraId="05C53015" w14:textId="77777777" w:rsidR="00FD3CA5" w:rsidRDefault="00FD3CA5" w:rsidP="00FD3CA5">
      <w:pPr>
        <w:pStyle w:val="Ttulo2"/>
      </w:pPr>
      <w:r>
        <w:t xml:space="preserve">5. O que esperar para o futuro? </w:t>
      </w:r>
    </w:p>
    <w:p w14:paraId="78D2438F" w14:textId="77777777" w:rsidR="00FD3CA5" w:rsidRDefault="00FD3CA5" w:rsidP="00FD3CA5">
      <w:pPr>
        <w:pStyle w:val="ember-view"/>
      </w:pPr>
      <w:r>
        <w:t>Os dados e iniciativas do IBGC mostram que o Brasil está avançando, mas ainda há desafios a serem enfrentados. O crescimento do interesse por governança é um sinal positivo, mas ainda há um longo caminho para que a</w:t>
      </w:r>
      <w:r>
        <w:rPr>
          <w:rStyle w:val="white-space-pre"/>
          <w:rFonts w:eastAsiaTheme="majorEastAsia"/>
        </w:rPr>
        <w:t xml:space="preserve"> </w:t>
      </w:r>
      <w:r>
        <w:rPr>
          <w:rStyle w:val="Forte"/>
        </w:rPr>
        <w:t>cultura da governança</w:t>
      </w:r>
      <w:r>
        <w:rPr>
          <w:rStyle w:val="white-space-pre"/>
          <w:rFonts w:eastAsiaTheme="majorEastAsia"/>
        </w:rPr>
        <w:t xml:space="preserve"> </w:t>
      </w:r>
      <w:r>
        <w:t xml:space="preserve">esteja de fato enraizada nas empresas. </w:t>
      </w:r>
    </w:p>
    <w:p w14:paraId="3576AC0D" w14:textId="77777777" w:rsidR="00FD3CA5" w:rsidRDefault="00FD3CA5" w:rsidP="00FD3CA5">
      <w:pPr>
        <w:pStyle w:val="Ttulo3"/>
      </w:pPr>
      <w:r>
        <w:t xml:space="preserve">Reflexões finais </w:t>
      </w:r>
    </w:p>
    <w:p w14:paraId="24B3462A" w14:textId="77777777" w:rsidR="00FD3CA5" w:rsidRDefault="00FD3CA5" w:rsidP="00FD3CA5">
      <w:pPr>
        <w:pStyle w:val="ember-view"/>
      </w:pPr>
      <w:r>
        <w:t>A tendência é que a governança se torne cada vez mais</w:t>
      </w:r>
      <w:r>
        <w:rPr>
          <w:rStyle w:val="white-space-pre"/>
          <w:rFonts w:eastAsiaTheme="majorEastAsia"/>
        </w:rPr>
        <w:t xml:space="preserve"> </w:t>
      </w:r>
      <w:r>
        <w:rPr>
          <w:rStyle w:val="Forte"/>
        </w:rPr>
        <w:t>dinâmica, adaptável e digital</w:t>
      </w:r>
      <w:r>
        <w:t xml:space="preserve">. Empresas que souberem inovar nesse sentido estarão mais preparadas para um ambiente de negócios cada vez mais complexo. </w:t>
      </w:r>
    </w:p>
    <w:p w14:paraId="0C979220" w14:textId="77777777" w:rsidR="00FD3CA5" w:rsidRDefault="00FD3CA5" w:rsidP="00FD3CA5">
      <w:pPr>
        <w:pStyle w:val="ember-view"/>
      </w:pPr>
      <w:r>
        <w:t>A governança também precisa evoluir de um modelo engessado e hierárquico para uma</w:t>
      </w:r>
      <w:r>
        <w:rPr>
          <w:rStyle w:val="white-space-pre"/>
          <w:rFonts w:eastAsiaTheme="majorEastAsia"/>
        </w:rPr>
        <w:t xml:space="preserve"> </w:t>
      </w:r>
      <w:r>
        <w:rPr>
          <w:rStyle w:val="Forte"/>
        </w:rPr>
        <w:t>governança distribuída e interconectada</w:t>
      </w:r>
      <w:r>
        <w:t xml:space="preserve">. A governança do futuro não será apenas corporativa, mas sim uma governança para redes, comunidades e ecossistemas de inovação. </w:t>
      </w:r>
    </w:p>
    <w:p w14:paraId="6466F88A" w14:textId="77777777" w:rsidR="00D041DA" w:rsidRPr="006016DA" w:rsidRDefault="00D041DA" w:rsidP="00FD3CA5">
      <w:pPr>
        <w:pStyle w:val="Ttulo1"/>
        <w:rPr>
          <w:rFonts w:ascii="Calibri" w:hAnsi="Calibri" w:cs="Calibri"/>
        </w:rPr>
      </w:pPr>
    </w:p>
    <w:sectPr w:rsidR="00D041DA" w:rsidRPr="006016DA" w:rsidSect="008539E0">
      <w:headerReference w:type="default" r:id="rId12"/>
      <w:pgSz w:w="11900" w:h="16820"/>
      <w:pgMar w:top="1921" w:right="84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EEDC" w14:textId="77777777" w:rsidR="00516D50" w:rsidRDefault="00516D50" w:rsidP="008539E0">
      <w:r>
        <w:separator/>
      </w:r>
    </w:p>
  </w:endnote>
  <w:endnote w:type="continuationSeparator" w:id="0">
    <w:p w14:paraId="093C6696" w14:textId="77777777" w:rsidR="00516D50" w:rsidRDefault="00516D50" w:rsidP="0085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F78C0" w14:textId="77777777" w:rsidR="00516D50" w:rsidRDefault="00516D50" w:rsidP="008539E0">
      <w:r>
        <w:separator/>
      </w:r>
    </w:p>
  </w:footnote>
  <w:footnote w:type="continuationSeparator" w:id="0">
    <w:p w14:paraId="09AA55BC" w14:textId="77777777" w:rsidR="00516D50" w:rsidRDefault="00516D50" w:rsidP="00853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C702" w14:textId="43A3EBE9" w:rsidR="008539E0" w:rsidRDefault="00D041DA">
    <w:pPr>
      <w:pStyle w:val="Cabealho"/>
    </w:pPr>
    <w:r>
      <w:rPr>
        <w:noProof/>
      </w:rPr>
      <w:drawing>
        <wp:anchor distT="0" distB="0" distL="114300" distR="114300" simplePos="0" relativeHeight="251658240" behindDoc="1" locked="0" layoutInCell="1" allowOverlap="1" wp14:anchorId="029E1121" wp14:editId="2131368C">
          <wp:simplePos x="0" y="0"/>
          <wp:positionH relativeFrom="column">
            <wp:posOffset>-1080135</wp:posOffset>
          </wp:positionH>
          <wp:positionV relativeFrom="paragraph">
            <wp:posOffset>-449580</wp:posOffset>
          </wp:positionV>
          <wp:extent cx="7578435" cy="10724442"/>
          <wp:effectExtent l="0" t="0" r="0" b="0"/>
          <wp:wrapNone/>
          <wp:docPr id="65365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5321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8435" cy="1072444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BA4"/>
    <w:multiLevelType w:val="multilevel"/>
    <w:tmpl w:val="61BC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72690"/>
    <w:multiLevelType w:val="multilevel"/>
    <w:tmpl w:val="1C9A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D4D0E"/>
    <w:multiLevelType w:val="multilevel"/>
    <w:tmpl w:val="CB7C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D7494"/>
    <w:multiLevelType w:val="multilevel"/>
    <w:tmpl w:val="46D2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55738"/>
    <w:multiLevelType w:val="multilevel"/>
    <w:tmpl w:val="AB44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A5D91"/>
    <w:multiLevelType w:val="multilevel"/>
    <w:tmpl w:val="9496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32606"/>
    <w:multiLevelType w:val="multilevel"/>
    <w:tmpl w:val="E9F4C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395627"/>
    <w:multiLevelType w:val="multilevel"/>
    <w:tmpl w:val="BAD86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E325A"/>
    <w:multiLevelType w:val="multilevel"/>
    <w:tmpl w:val="B43A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146B1"/>
    <w:multiLevelType w:val="multilevel"/>
    <w:tmpl w:val="6E8C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A0B93"/>
    <w:multiLevelType w:val="multilevel"/>
    <w:tmpl w:val="7CE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61FD6"/>
    <w:multiLevelType w:val="multilevel"/>
    <w:tmpl w:val="1B725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AE1993"/>
    <w:multiLevelType w:val="multilevel"/>
    <w:tmpl w:val="B45A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8074D7"/>
    <w:multiLevelType w:val="multilevel"/>
    <w:tmpl w:val="80F0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D6950"/>
    <w:multiLevelType w:val="multilevel"/>
    <w:tmpl w:val="C49E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AB5342"/>
    <w:multiLevelType w:val="multilevel"/>
    <w:tmpl w:val="A304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9F0B0B"/>
    <w:multiLevelType w:val="multilevel"/>
    <w:tmpl w:val="C2A6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6A470C"/>
    <w:multiLevelType w:val="multilevel"/>
    <w:tmpl w:val="BBDC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6989852">
    <w:abstractNumId w:val="13"/>
  </w:num>
  <w:num w:numId="2" w16cid:durableId="121853689">
    <w:abstractNumId w:val="4"/>
  </w:num>
  <w:num w:numId="3" w16cid:durableId="1071083313">
    <w:abstractNumId w:val="12"/>
  </w:num>
  <w:num w:numId="4" w16cid:durableId="994257492">
    <w:abstractNumId w:val="1"/>
  </w:num>
  <w:num w:numId="5" w16cid:durableId="286005636">
    <w:abstractNumId w:val="8"/>
  </w:num>
  <w:num w:numId="6" w16cid:durableId="1343122264">
    <w:abstractNumId w:val="7"/>
  </w:num>
  <w:num w:numId="7" w16cid:durableId="1932348195">
    <w:abstractNumId w:val="16"/>
  </w:num>
  <w:num w:numId="8" w16cid:durableId="350186673">
    <w:abstractNumId w:val="11"/>
  </w:num>
  <w:num w:numId="9" w16cid:durableId="1462765249">
    <w:abstractNumId w:val="6"/>
  </w:num>
  <w:num w:numId="10" w16cid:durableId="424881338">
    <w:abstractNumId w:val="14"/>
  </w:num>
  <w:num w:numId="11" w16cid:durableId="789057010">
    <w:abstractNumId w:val="2"/>
  </w:num>
  <w:num w:numId="12" w16cid:durableId="223220842">
    <w:abstractNumId w:val="9"/>
  </w:num>
  <w:num w:numId="13" w16cid:durableId="898830159">
    <w:abstractNumId w:val="0"/>
  </w:num>
  <w:num w:numId="14" w16cid:durableId="2059694538">
    <w:abstractNumId w:val="3"/>
  </w:num>
  <w:num w:numId="15" w16cid:durableId="405152982">
    <w:abstractNumId w:val="10"/>
  </w:num>
  <w:num w:numId="16" w16cid:durableId="1085540121">
    <w:abstractNumId w:val="15"/>
  </w:num>
  <w:num w:numId="17" w16cid:durableId="1609967908">
    <w:abstractNumId w:val="17"/>
  </w:num>
  <w:num w:numId="18" w16cid:durableId="311373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9E0"/>
    <w:rsid w:val="000E67FC"/>
    <w:rsid w:val="00107BE4"/>
    <w:rsid w:val="001974FA"/>
    <w:rsid w:val="001B0113"/>
    <w:rsid w:val="003C4A7B"/>
    <w:rsid w:val="00404CB0"/>
    <w:rsid w:val="00516D50"/>
    <w:rsid w:val="005C2A39"/>
    <w:rsid w:val="005D1977"/>
    <w:rsid w:val="006016DA"/>
    <w:rsid w:val="00691C67"/>
    <w:rsid w:val="006B725A"/>
    <w:rsid w:val="0070428B"/>
    <w:rsid w:val="007721ED"/>
    <w:rsid w:val="00775250"/>
    <w:rsid w:val="008213D7"/>
    <w:rsid w:val="008539E0"/>
    <w:rsid w:val="00A85C01"/>
    <w:rsid w:val="00B95A0A"/>
    <w:rsid w:val="00C45EA5"/>
    <w:rsid w:val="00D041DA"/>
    <w:rsid w:val="00FD3C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A89F"/>
  <w15:chartTrackingRefBased/>
  <w15:docId w15:val="{CAAE4AEA-2546-1848-ABFA-56B7D38C0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tulo1">
    <w:name w:val="heading 1"/>
    <w:basedOn w:val="Normal"/>
    <w:next w:val="Normal"/>
    <w:link w:val="Ttulo1Char"/>
    <w:uiPriority w:val="9"/>
    <w:qFormat/>
    <w:rsid w:val="00A85C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har"/>
    <w:uiPriority w:val="9"/>
    <w:qFormat/>
    <w:rsid w:val="007721ED"/>
    <w:pPr>
      <w:spacing w:before="100" w:beforeAutospacing="1" w:after="100" w:afterAutospacing="1"/>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7721ED"/>
    <w:pPr>
      <w:spacing w:before="100" w:beforeAutospacing="1" w:after="100" w:afterAutospacing="1"/>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539E0"/>
    <w:pPr>
      <w:tabs>
        <w:tab w:val="center" w:pos="4252"/>
        <w:tab w:val="right" w:pos="8504"/>
      </w:tabs>
    </w:pPr>
  </w:style>
  <w:style w:type="character" w:customStyle="1" w:styleId="CabealhoChar">
    <w:name w:val="Cabeçalho Char"/>
    <w:basedOn w:val="Fontepargpadro"/>
    <w:link w:val="Cabealho"/>
    <w:uiPriority w:val="99"/>
    <w:rsid w:val="008539E0"/>
    <w:rPr>
      <w:rFonts w:eastAsiaTheme="minorEastAsia"/>
    </w:rPr>
  </w:style>
  <w:style w:type="paragraph" w:styleId="Rodap">
    <w:name w:val="footer"/>
    <w:basedOn w:val="Normal"/>
    <w:link w:val="RodapChar"/>
    <w:uiPriority w:val="99"/>
    <w:unhideWhenUsed/>
    <w:rsid w:val="008539E0"/>
    <w:pPr>
      <w:tabs>
        <w:tab w:val="center" w:pos="4252"/>
        <w:tab w:val="right" w:pos="8504"/>
      </w:tabs>
    </w:pPr>
  </w:style>
  <w:style w:type="character" w:customStyle="1" w:styleId="RodapChar">
    <w:name w:val="Rodapé Char"/>
    <w:basedOn w:val="Fontepargpadro"/>
    <w:link w:val="Rodap"/>
    <w:uiPriority w:val="99"/>
    <w:rsid w:val="008539E0"/>
    <w:rPr>
      <w:rFonts w:eastAsiaTheme="minorEastAsia"/>
    </w:rPr>
  </w:style>
  <w:style w:type="paragraph" w:customStyle="1" w:styleId="ember-view">
    <w:name w:val="ember-view"/>
    <w:basedOn w:val="Normal"/>
    <w:rsid w:val="006016DA"/>
    <w:pPr>
      <w:spacing w:before="100" w:beforeAutospacing="1" w:after="100" w:afterAutospacing="1"/>
    </w:pPr>
    <w:rPr>
      <w:rFonts w:ascii="Times New Roman" w:eastAsia="Times New Roman" w:hAnsi="Times New Roman" w:cs="Times New Roman"/>
      <w:lang w:eastAsia="pt-BR"/>
    </w:rPr>
  </w:style>
  <w:style w:type="character" w:customStyle="1" w:styleId="Ttulo2Char">
    <w:name w:val="Título 2 Char"/>
    <w:basedOn w:val="Fontepargpadro"/>
    <w:link w:val="Ttulo2"/>
    <w:uiPriority w:val="9"/>
    <w:rsid w:val="007721ED"/>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7721ED"/>
    <w:rPr>
      <w:rFonts w:ascii="Times New Roman" w:eastAsia="Times New Roman" w:hAnsi="Times New Roman" w:cs="Times New Roman"/>
      <w:b/>
      <w:bCs/>
      <w:sz w:val="27"/>
      <w:szCs w:val="27"/>
      <w:lang w:eastAsia="pt-BR"/>
    </w:rPr>
  </w:style>
  <w:style w:type="character" w:customStyle="1" w:styleId="Ttulo1Char">
    <w:name w:val="Título 1 Char"/>
    <w:basedOn w:val="Fontepargpadro"/>
    <w:link w:val="Ttulo1"/>
    <w:uiPriority w:val="9"/>
    <w:rsid w:val="00A85C01"/>
    <w:rPr>
      <w:rFonts w:asciiTheme="majorHAnsi" w:eastAsiaTheme="majorEastAsia" w:hAnsiTheme="majorHAnsi" w:cstheme="majorBidi"/>
      <w:color w:val="2F5496" w:themeColor="accent1" w:themeShade="BF"/>
      <w:sz w:val="32"/>
      <w:szCs w:val="32"/>
    </w:rPr>
  </w:style>
  <w:style w:type="character" w:styleId="Hyperlink">
    <w:name w:val="Hyperlink"/>
    <w:basedOn w:val="Fontepargpadro"/>
    <w:uiPriority w:val="99"/>
    <w:semiHidden/>
    <w:unhideWhenUsed/>
    <w:rsid w:val="00A85C01"/>
    <w:rPr>
      <w:color w:val="0000FF"/>
      <w:u w:val="single"/>
    </w:rPr>
  </w:style>
  <w:style w:type="character" w:customStyle="1" w:styleId="white-space-pre">
    <w:name w:val="white-space-pre"/>
    <w:basedOn w:val="Fontepargpadro"/>
    <w:rsid w:val="00A85C01"/>
  </w:style>
  <w:style w:type="character" w:styleId="Forte">
    <w:name w:val="Strong"/>
    <w:basedOn w:val="Fontepargpadro"/>
    <w:uiPriority w:val="22"/>
    <w:qFormat/>
    <w:rsid w:val="00A85C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ibgcofici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bgc.org.br/blog/acessar-relatorio-anual-202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pulse/os-desafios-das-empresas-familiares-brasil-obst%C3%A1culos-estruquel-menke/" TargetMode="External"/><Relationship Id="rId5" Type="http://schemas.openxmlformats.org/officeDocument/2006/relationships/footnotes" Target="footnotes.xml"/><Relationship Id="rId10" Type="http://schemas.openxmlformats.org/officeDocument/2006/relationships/hyperlink" Target="https://www.linkedin.com/school/gonew-co/" TargetMode="External"/><Relationship Id="rId4" Type="http://schemas.openxmlformats.org/officeDocument/2006/relationships/webSettings" Target="webSettings.xml"/><Relationship Id="rId9" Type="http://schemas.openxmlformats.org/officeDocument/2006/relationships/hyperlink" Target="https://www.gonew.co/imersao-e-pratica-inteligencia-coletiv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1189</Words>
  <Characters>6425</Characters>
  <Application>Microsoft Office Word</Application>
  <DocSecurity>0</DocSecurity>
  <Lines>53</Lines>
  <Paragraphs>15</Paragraphs>
  <ScaleCrop>false</ScaleCrop>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2026-10-15T21:11:00Z</dcterms:created>
  <dcterms:modified xsi:type="dcterms:W3CDTF">2026-10-15T21:11:00Z</dcterms:modified>
</cp:coreProperties>
</file>